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2024年度省财政农业生产救灾项目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</w:rPr>
      </w:pPr>
      <w:r>
        <w:rPr>
          <w:rFonts w:hint="eastAsia"/>
          <w:lang w:val="en-US" w:eastAsia="zh-CN"/>
        </w:rPr>
        <w:t>根据省级财政农业生产救灾资金管理办法，2024年下达我县省级财政农业生产救灾资金26万元。资金主要用于农业自然灾害防灾、救灾和恢复农业生产所需的物资材料及服务补助，包括购买燃油、肥料、种子（植物种苗、种畜、种禽、水产种苗）、农膜、农药、兽药、饲草料、植物生长调节剂以及设施农业修复等费用。总体目标是支持灾后设施恢复和农作物恢复生长，稳定菜篮子产品供应能力，保持种养主体生产积极性，确保灾区农业生产秩序和能力基本恢复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全年预算数26万元，全年执行数26万元，预算执行率为100%。其中省级补助资金26万元，执行率100%。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资金支出严格执行相关财经法规，支出合规。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总体目标完成。救灾资金全部用于农业生产救灾相关支出，灾后农业生产恢复面积1482亩，共救助492户受灾群众，有效稳定了菜篮子产品供应能力和种养主体生产积极性，灾区农业生产秩序和能力基本恢复。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指标1：支持灾后设施恢复和农作物恢复生长面积 620亩 → 实际完成1482亩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指标1：用于农业生产救灾相关支出比例 100% → 实际100%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指标1：救灾资金下达后6个月内预算执行率 ≥90% → 实际100%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指标1：项目总成本 ≤26万元 → 实际完成26万元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指标1：稳定菜篮子产品供应能力 保持稳定 → 实际稳定</w:t>
      </w:r>
      <w:r>
        <w:rPr>
          <w:rFonts w:hint="eastAsia"/>
        </w:rPr>
        <w:br w:type="textWrapping"/>
      </w:r>
      <w:r>
        <w:rPr>
          <w:rFonts w:hint="eastAsia"/>
        </w:rPr>
        <w:t>指标2：稳定种养主体生产积极性 保持稳定 → 实际稳定</w:t>
      </w:r>
      <w:r>
        <w:rPr>
          <w:rFonts w:hint="eastAsia"/>
        </w:rPr>
        <w:br w:type="textWrapping"/>
      </w:r>
      <w:r>
        <w:rPr>
          <w:rFonts w:hint="eastAsia"/>
        </w:rPr>
        <w:t>指标3：灾区农业生产秩序恢复 基本恢复 → 实际基本恢复</w:t>
      </w:r>
      <w:r>
        <w:rPr>
          <w:rFonts w:hint="eastAsia"/>
        </w:rPr>
        <w:br w:type="textWrapping"/>
      </w:r>
      <w:r>
        <w:rPr>
          <w:rFonts w:hint="eastAsia"/>
        </w:rPr>
        <w:t>指标4：灾区生产能力基本恢复 基本恢复 → 实际基本恢复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指标1：受益对象满意度 ≥90% → 实际100%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  <w:lang w:eastAsia="zh-CN"/>
        </w:rPr>
        <w:t>无</w:t>
      </w:r>
      <w:r>
        <w:rPr>
          <w:rFonts w:hint="eastAsia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151880"/>
            <wp:effectExtent l="0" t="0" r="139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1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7DDFCD52"/>
    <w:rsid w:val="E9FFAE32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6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0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2026-02-06T02:45:00Z</dcterms:created>
  <dc:creator>admin</dc:creator>
  <cp:lastModifiedBy>uospc</cp:lastModifiedBy>
  <dcterms:modified xsi:type="dcterms:W3CDTF">2026-06-03T09:37:40Z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5E2050E3438DBFCE64851F6A3E465BDF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